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163" w:rsidRPr="00432E8A" w:rsidRDefault="00E21163" w:rsidP="00E21163">
      <w:pPr>
        <w:shd w:val="clear" w:color="auto" w:fill="FFFFFF"/>
        <w:jc w:val="center"/>
        <w:rPr>
          <w:b/>
          <w:bCs/>
          <w:color w:val="000000" w:themeColor="text1"/>
          <w:lang w:val="be-BY"/>
        </w:rPr>
      </w:pPr>
      <w:r w:rsidRPr="00432E8A">
        <w:rPr>
          <w:b/>
          <w:bCs/>
          <w:color w:val="000000" w:themeColor="text1"/>
          <w:lang w:val="be-BY"/>
        </w:rPr>
        <w:t>Вучэбная дысцыпліна «Тэорыя маўленчых жанраў»</w:t>
      </w:r>
    </w:p>
    <w:p w:rsidR="00E21163" w:rsidRPr="00432E8A" w:rsidRDefault="00E21163" w:rsidP="00E21163">
      <w:pPr>
        <w:shd w:val="clear" w:color="auto" w:fill="FFFFFF"/>
        <w:jc w:val="center"/>
        <w:rPr>
          <w:b/>
          <w:bCs/>
          <w:color w:val="000000" w:themeColor="text1"/>
          <w:lang w:val="be-B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78"/>
      </w:tblGrid>
      <w:tr w:rsidR="00E21163" w:rsidRPr="0069297C" w:rsidTr="008E4D8A">
        <w:tc>
          <w:tcPr>
            <w:tcW w:w="3369" w:type="dxa"/>
            <w:tcBorders>
              <w:top w:val="single" w:sz="4" w:space="0" w:color="auto"/>
              <w:left w:val="single" w:sz="4" w:space="0" w:color="auto"/>
              <w:bottom w:val="single" w:sz="4" w:space="0" w:color="auto"/>
              <w:right w:val="single" w:sz="4" w:space="0" w:color="auto"/>
            </w:tcBorders>
            <w:hideMark/>
          </w:tcPr>
          <w:p w:rsidR="008E4D8A" w:rsidRPr="0069297C" w:rsidRDefault="00E21163" w:rsidP="00432E8A">
            <w:pPr>
              <w:rPr>
                <w:bCs/>
                <w:color w:val="000000" w:themeColor="text1"/>
              </w:rPr>
            </w:pPr>
            <w:r w:rsidRPr="008E4D8A">
              <w:rPr>
                <w:bCs/>
                <w:color w:val="000000" w:themeColor="text1"/>
                <w:lang w:val="be-BY"/>
              </w:rPr>
              <w:t xml:space="preserve">Месца дысцыпліны </w:t>
            </w:r>
          </w:p>
          <w:p w:rsidR="00E21163" w:rsidRPr="00432E8A" w:rsidRDefault="00E21163" w:rsidP="00432E8A">
            <w:pPr>
              <w:rPr>
                <w:b/>
                <w:bCs/>
                <w:color w:val="000000" w:themeColor="text1"/>
                <w:lang w:val="be-BY"/>
              </w:rPr>
            </w:pPr>
            <w:r w:rsidRPr="008E4D8A">
              <w:rPr>
                <w:bCs/>
                <w:color w:val="000000" w:themeColor="text1"/>
                <w:lang w:val="be-BY"/>
              </w:rPr>
              <w:t>ў структурнай схеме адукацыйнай праграмы</w:t>
            </w:r>
            <w:r w:rsidRPr="00432E8A">
              <w:rPr>
                <w:b/>
                <w:bCs/>
                <w:color w:val="000000" w:themeColor="text1"/>
                <w:lang w:val="be-BY"/>
              </w:rPr>
              <w:t xml:space="preserve"> </w:t>
            </w:r>
          </w:p>
        </w:tc>
        <w:tc>
          <w:tcPr>
            <w:tcW w:w="6378" w:type="dxa"/>
            <w:tcBorders>
              <w:top w:val="single" w:sz="4" w:space="0" w:color="auto"/>
              <w:left w:val="single" w:sz="4" w:space="0" w:color="auto"/>
              <w:bottom w:val="single" w:sz="4" w:space="0" w:color="auto"/>
              <w:right w:val="single" w:sz="4" w:space="0" w:color="auto"/>
            </w:tcBorders>
            <w:hideMark/>
          </w:tcPr>
          <w:p w:rsidR="00432E8A" w:rsidRPr="00432E8A" w:rsidRDefault="00432E8A" w:rsidP="00432E8A">
            <w:pPr>
              <w:jc w:val="center"/>
              <w:rPr>
                <w:bCs/>
                <w:color w:val="000000" w:themeColor="text1"/>
              </w:rPr>
            </w:pPr>
            <w:proofErr w:type="spellStart"/>
            <w:r w:rsidRPr="00432E8A">
              <w:rPr>
                <w:bCs/>
                <w:color w:val="000000" w:themeColor="text1"/>
              </w:rPr>
              <w:t>Адукацыйная</w:t>
            </w:r>
            <w:proofErr w:type="spellEnd"/>
            <w:r w:rsidRPr="00432E8A">
              <w:rPr>
                <w:bCs/>
                <w:color w:val="000000" w:themeColor="text1"/>
              </w:rPr>
              <w:t xml:space="preserve"> </w:t>
            </w:r>
            <w:proofErr w:type="spellStart"/>
            <w:r w:rsidRPr="00432E8A">
              <w:rPr>
                <w:bCs/>
                <w:color w:val="000000" w:themeColor="text1"/>
              </w:rPr>
              <w:t>праграма</w:t>
            </w:r>
            <w:proofErr w:type="spellEnd"/>
            <w:r w:rsidRPr="00432E8A">
              <w:rPr>
                <w:bCs/>
                <w:color w:val="000000" w:themeColor="text1"/>
              </w:rPr>
              <w:t xml:space="preserve"> маг</w:t>
            </w:r>
            <w:r w:rsidRPr="00432E8A">
              <w:rPr>
                <w:bCs/>
                <w:color w:val="000000" w:themeColor="text1"/>
                <w:lang w:val="be-BY"/>
              </w:rPr>
              <w:t>і</w:t>
            </w:r>
            <w:proofErr w:type="spellStart"/>
            <w:r w:rsidRPr="00432E8A">
              <w:rPr>
                <w:bCs/>
                <w:color w:val="000000" w:themeColor="text1"/>
              </w:rPr>
              <w:t>стратуры</w:t>
            </w:r>
            <w:proofErr w:type="spellEnd"/>
          </w:p>
          <w:p w:rsidR="00432E8A" w:rsidRPr="00432E8A" w:rsidRDefault="00432E8A" w:rsidP="00432E8A">
            <w:pPr>
              <w:jc w:val="center"/>
              <w:rPr>
                <w:bCs/>
                <w:color w:val="000000" w:themeColor="text1"/>
                <w:lang w:val="be-BY"/>
              </w:rPr>
            </w:pPr>
            <w:r w:rsidRPr="00432E8A">
              <w:rPr>
                <w:bCs/>
                <w:color w:val="000000" w:themeColor="text1"/>
              </w:rPr>
              <w:t>(</w:t>
            </w:r>
            <w:proofErr w:type="spellStart"/>
            <w:r w:rsidRPr="00432E8A">
              <w:rPr>
                <w:bCs/>
                <w:color w:val="000000" w:themeColor="text1"/>
              </w:rPr>
              <w:t>паглыбленая</w:t>
            </w:r>
            <w:proofErr w:type="spellEnd"/>
            <w:r w:rsidRPr="00432E8A">
              <w:rPr>
                <w:bCs/>
                <w:color w:val="000000" w:themeColor="text1"/>
              </w:rPr>
              <w:t xml:space="preserve"> </w:t>
            </w:r>
            <w:r w:rsidRPr="00432E8A">
              <w:rPr>
                <w:bCs/>
                <w:color w:val="000000" w:themeColor="text1"/>
                <w:lang w:val="be-BY"/>
              </w:rPr>
              <w:t>вышэйшая адукацыя</w:t>
            </w:r>
            <w:r w:rsidRPr="00432E8A">
              <w:rPr>
                <w:bCs/>
                <w:color w:val="000000" w:themeColor="text1"/>
              </w:rPr>
              <w:t>)</w:t>
            </w:r>
          </w:p>
          <w:p w:rsidR="00432E8A" w:rsidRPr="00432E8A" w:rsidRDefault="00432E8A" w:rsidP="00432E8A">
            <w:pPr>
              <w:jc w:val="center"/>
              <w:rPr>
                <w:color w:val="000000" w:themeColor="text1"/>
                <w:lang w:val="be-BY"/>
              </w:rPr>
            </w:pPr>
            <w:r w:rsidRPr="00432E8A">
              <w:rPr>
                <w:iCs/>
                <w:color w:val="000000" w:themeColor="text1"/>
                <w:lang w:val="be-BY"/>
              </w:rPr>
              <w:t>Спецыяльнасць:</w:t>
            </w:r>
            <w:r w:rsidRPr="00432E8A">
              <w:rPr>
                <w:b/>
                <w:bCs/>
                <w:color w:val="000000" w:themeColor="text1"/>
                <w:lang w:val="be-BY"/>
              </w:rPr>
              <w:t xml:space="preserve"> </w:t>
            </w:r>
            <w:r w:rsidRPr="00432E8A">
              <w:rPr>
                <w:color w:val="000000" w:themeColor="text1"/>
                <w:lang w:val="be-BY"/>
              </w:rPr>
              <w:t>7-06-0232-01 Мовазнаўства</w:t>
            </w:r>
          </w:p>
          <w:p w:rsidR="00E21163" w:rsidRPr="00A91307" w:rsidRDefault="00432E8A" w:rsidP="00432E8A">
            <w:pPr>
              <w:jc w:val="center"/>
              <w:rPr>
                <w:bCs/>
                <w:color w:val="000000" w:themeColor="text1"/>
                <w:lang w:val="be-BY"/>
              </w:rPr>
            </w:pPr>
            <w:r w:rsidRPr="00432E8A">
              <w:rPr>
                <w:bCs/>
                <w:color w:val="000000" w:themeColor="text1"/>
                <w:lang w:val="be-BY"/>
              </w:rPr>
              <w:t>Цыкл спецыяльных дысцыплін: дзяржаўны кампанент *</w:t>
            </w:r>
          </w:p>
        </w:tc>
      </w:tr>
      <w:tr w:rsidR="00E21163" w:rsidRPr="0069297C" w:rsidTr="008E4D8A">
        <w:tc>
          <w:tcPr>
            <w:tcW w:w="3369" w:type="dxa"/>
            <w:tcBorders>
              <w:top w:val="single" w:sz="4" w:space="0" w:color="auto"/>
              <w:left w:val="single" w:sz="4" w:space="0" w:color="auto"/>
              <w:bottom w:val="single" w:sz="4" w:space="0" w:color="auto"/>
              <w:right w:val="single" w:sz="4" w:space="0" w:color="auto"/>
            </w:tcBorders>
          </w:tcPr>
          <w:p w:rsidR="00E21163" w:rsidRPr="00432E8A" w:rsidRDefault="00E21163" w:rsidP="00432E8A">
            <w:pPr>
              <w:rPr>
                <w:b/>
                <w:color w:val="000000" w:themeColor="text1"/>
                <w:lang w:val="be-BY"/>
              </w:rPr>
            </w:pPr>
            <w:r w:rsidRPr="00432E8A">
              <w:rPr>
                <w:b/>
                <w:color w:val="000000" w:themeColor="text1"/>
                <w:lang w:val="be-BY"/>
              </w:rPr>
              <w:t>Кароткі змест</w:t>
            </w:r>
          </w:p>
          <w:p w:rsidR="00E21163" w:rsidRPr="00432E8A" w:rsidRDefault="00E21163" w:rsidP="00432E8A">
            <w:pPr>
              <w:rPr>
                <w:b/>
                <w:color w:val="000000" w:themeColor="text1"/>
              </w:rPr>
            </w:pPr>
          </w:p>
        </w:tc>
        <w:tc>
          <w:tcPr>
            <w:tcW w:w="6378" w:type="dxa"/>
            <w:tcBorders>
              <w:top w:val="single" w:sz="4" w:space="0" w:color="auto"/>
              <w:left w:val="single" w:sz="4" w:space="0" w:color="auto"/>
              <w:bottom w:val="single" w:sz="4" w:space="0" w:color="auto"/>
              <w:right w:val="single" w:sz="4" w:space="0" w:color="auto"/>
            </w:tcBorders>
          </w:tcPr>
          <w:p w:rsidR="00E21163" w:rsidRPr="00432E8A" w:rsidRDefault="00E21163" w:rsidP="00432E8A">
            <w:pPr>
              <w:jc w:val="both"/>
              <w:rPr>
                <w:color w:val="000000" w:themeColor="text1"/>
                <w:lang w:val="be-BY"/>
              </w:rPr>
            </w:pPr>
            <w:r w:rsidRPr="00432E8A">
              <w:rPr>
                <w:rFonts w:eastAsia="Calibri"/>
                <w:color w:val="000000" w:themeColor="text1"/>
                <w:kern w:val="2"/>
                <w:lang w:val="be-BY" w:eastAsia="en-US"/>
                <w14:ligatures w14:val="standardContextual"/>
              </w:rPr>
              <w:t xml:space="preserve">Месца жанру ў маўленчай сістэмнасці. Развіццё тэорыі маўленчых жанраў. Маўленчазнаўства як інтэгральная лінгвістычная тэорыя. Псіхалінгвістычныя аспекты вывучэння маўленчых жанраў. Тэорыя маўленчых актаў (ТМА) Джона Осціна. Тэорыя маўленчых жанраў (ТМЖ) М. М. Бахціна. Суадносіны тэорыі маўленчых жанраў і тэорыі маўленчых актаў. Асноўныя напрамкі вывучэння маўленчых жанраў. Лінгвістычнае вывучэнне маўленчых жанраў (генрыстыка).  Прагматычнае вывучэнне маўленчых жанраў (жанразнаўства). Тыпалогія маўленчых жанраў. Мадэльны </w:t>
            </w:r>
            <w:r w:rsidR="008E4D8A">
              <w:rPr>
                <w:rFonts w:eastAsia="Calibri"/>
                <w:color w:val="000000" w:themeColor="text1"/>
                <w:kern w:val="2"/>
                <w:lang w:val="be-BY" w:eastAsia="en-US"/>
                <w14:ligatures w14:val="standardContextual"/>
              </w:rPr>
              <w:t>напрамак у ТМЖ.  Тыпалогія МЖ з</w:t>
            </w:r>
            <w:r w:rsidR="008E4D8A">
              <w:rPr>
                <w:rFonts w:eastAsia="Calibri"/>
                <w:color w:val="000000" w:themeColor="text1"/>
                <w:kern w:val="2"/>
                <w:lang w:val="en-US" w:eastAsia="en-US"/>
                <w14:ligatures w14:val="standardContextual"/>
              </w:rPr>
              <w:t> </w:t>
            </w:r>
            <w:r w:rsidRPr="00432E8A">
              <w:rPr>
                <w:rFonts w:eastAsia="Calibri"/>
                <w:color w:val="000000" w:themeColor="text1"/>
                <w:kern w:val="2"/>
                <w:lang w:val="be-BY" w:eastAsia="en-US"/>
                <w14:ligatures w14:val="standardContextual"/>
              </w:rPr>
              <w:t>пункту гледжання структуры. Розныя падыходы да ТМЖ. Трансфармацыі МЖ, выкліканыя з’яўленнем новых сфер і сродкаў камунікацыі.  Роля інтэрнету ў сучаснай маўленчажанравай сітуацыі.</w:t>
            </w:r>
          </w:p>
        </w:tc>
      </w:tr>
      <w:tr w:rsidR="00E21163" w:rsidRPr="00432E8A" w:rsidTr="008E4D8A">
        <w:tc>
          <w:tcPr>
            <w:tcW w:w="3369" w:type="dxa"/>
            <w:tcBorders>
              <w:top w:val="single" w:sz="4" w:space="0" w:color="auto"/>
              <w:left w:val="single" w:sz="4" w:space="0" w:color="auto"/>
              <w:bottom w:val="single" w:sz="4" w:space="0" w:color="auto"/>
              <w:right w:val="single" w:sz="4" w:space="0" w:color="auto"/>
            </w:tcBorders>
            <w:hideMark/>
          </w:tcPr>
          <w:p w:rsidR="00E21163" w:rsidRPr="00432E8A" w:rsidRDefault="00E21163" w:rsidP="00432E8A">
            <w:pPr>
              <w:rPr>
                <w:b/>
                <w:color w:val="000000" w:themeColor="text1"/>
                <w:lang w:val="be-BY"/>
              </w:rPr>
            </w:pPr>
            <w:r w:rsidRPr="00432E8A">
              <w:rPr>
                <w:b/>
                <w:color w:val="000000" w:themeColor="text1"/>
                <w:lang w:val="be-BY"/>
              </w:rPr>
              <w:t>Фарміруемые кампетэнцыі,</w:t>
            </w:r>
          </w:p>
          <w:p w:rsidR="00E21163" w:rsidRPr="00432E8A" w:rsidRDefault="00E21163" w:rsidP="00432E8A">
            <w:pPr>
              <w:rPr>
                <w:b/>
                <w:color w:val="000000" w:themeColor="text1"/>
              </w:rPr>
            </w:pPr>
            <w:r w:rsidRPr="00432E8A">
              <w:rPr>
                <w:b/>
                <w:color w:val="000000" w:themeColor="text1"/>
                <w:lang w:val="be-BY"/>
              </w:rPr>
              <w:t xml:space="preserve">вынікі навучання </w:t>
            </w:r>
          </w:p>
        </w:tc>
        <w:tc>
          <w:tcPr>
            <w:tcW w:w="6378" w:type="dxa"/>
            <w:tcBorders>
              <w:top w:val="single" w:sz="4" w:space="0" w:color="auto"/>
              <w:left w:val="single" w:sz="4" w:space="0" w:color="auto"/>
              <w:bottom w:val="single" w:sz="4" w:space="0" w:color="auto"/>
              <w:right w:val="single" w:sz="4" w:space="0" w:color="auto"/>
            </w:tcBorders>
            <w:hideMark/>
          </w:tcPr>
          <w:p w:rsidR="00E21163" w:rsidRPr="00432E8A" w:rsidRDefault="00E21163" w:rsidP="00432E8A">
            <w:pPr>
              <w:jc w:val="both"/>
              <w:rPr>
                <w:rFonts w:eastAsia="Calibri"/>
                <w:color w:val="000000" w:themeColor="text1"/>
                <w:kern w:val="2"/>
                <w:lang w:val="be-BY" w:eastAsia="en-US"/>
                <w14:ligatures w14:val="standardContextual"/>
              </w:rPr>
            </w:pPr>
            <w:proofErr w:type="gramStart"/>
            <w:r w:rsidRPr="00432E8A">
              <w:rPr>
                <w:color w:val="000000" w:themeColor="text1"/>
              </w:rPr>
              <w:t>Баз</w:t>
            </w:r>
            <w:r w:rsidRPr="00432E8A">
              <w:rPr>
                <w:color w:val="000000" w:themeColor="text1"/>
                <w:lang w:val="be-BY"/>
              </w:rPr>
              <w:t>а</w:t>
            </w:r>
            <w:r w:rsidRPr="00432E8A">
              <w:rPr>
                <w:color w:val="000000" w:themeColor="text1"/>
              </w:rPr>
              <w:t>вы</w:t>
            </w:r>
            <w:r w:rsidRPr="00432E8A">
              <w:rPr>
                <w:color w:val="000000" w:themeColor="text1"/>
                <w:lang w:val="be-BY"/>
              </w:rPr>
              <w:t>я</w:t>
            </w:r>
            <w:r w:rsidRPr="00432E8A">
              <w:rPr>
                <w:color w:val="000000" w:themeColor="text1"/>
              </w:rPr>
              <w:t xml:space="preserve"> </w:t>
            </w:r>
            <w:proofErr w:type="spellStart"/>
            <w:r w:rsidRPr="00432E8A">
              <w:rPr>
                <w:color w:val="000000" w:themeColor="text1"/>
              </w:rPr>
              <w:t>пр</w:t>
            </w:r>
            <w:proofErr w:type="spellEnd"/>
            <w:r w:rsidRPr="00432E8A">
              <w:rPr>
                <w:color w:val="000000" w:themeColor="text1"/>
                <w:lang w:val="be-BY"/>
              </w:rPr>
              <w:t>афесійныя кампетэнцыі</w:t>
            </w:r>
            <w:r w:rsidRPr="00432E8A">
              <w:rPr>
                <w:color w:val="000000" w:themeColor="text1"/>
              </w:rPr>
              <w:t xml:space="preserve">: </w:t>
            </w:r>
            <w:r w:rsidRPr="00432E8A">
              <w:rPr>
                <w:b/>
                <w:bCs/>
                <w:i/>
                <w:iCs/>
                <w:color w:val="000000" w:themeColor="text1"/>
                <w:lang w:val="be-BY"/>
              </w:rPr>
              <w:t>ведаць</w:t>
            </w:r>
            <w:r w:rsidRPr="00432E8A">
              <w:rPr>
                <w:b/>
                <w:i/>
                <w:color w:val="000000" w:themeColor="text1"/>
              </w:rPr>
              <w:t>:</w:t>
            </w:r>
            <w:r w:rsidRPr="00432E8A">
              <w:rPr>
                <w:b/>
                <w:i/>
                <w:color w:val="000000" w:themeColor="text1"/>
                <w:lang w:val="be-BY"/>
              </w:rPr>
              <w:t xml:space="preserve"> </w:t>
            </w:r>
            <w:r w:rsidRPr="00432E8A">
              <w:rPr>
                <w:rFonts w:eastAsia="Calibri"/>
                <w:color w:val="000000" w:themeColor="text1"/>
                <w:kern w:val="2"/>
                <w:lang w:val="be-BY" w:eastAsia="en-US"/>
                <w14:ligatures w14:val="standardContextual"/>
              </w:rPr>
              <w:t>тэорыю камунікатыўных тактык і стратэгій, сістэму маўленчых жанраў бытавых зносін, афіцыйна-справавой камунікацыі, мовы ідэалогіі, характар узаемадзеяння вербальных і невербальных сродкаў зносін, сістэму найбольш эфектыўных тактык і стратэгій дасягнення камунікатыўных мэт у розных сферах зносін;</w:t>
            </w:r>
            <w:proofErr w:type="gramEnd"/>
            <w:r w:rsidRPr="00432E8A">
              <w:rPr>
                <w:color w:val="000000" w:themeColor="text1"/>
                <w:lang w:val="be-BY"/>
              </w:rPr>
              <w:t xml:space="preserve">  </w:t>
            </w:r>
            <w:r w:rsidRPr="00432E8A">
              <w:rPr>
                <w:b/>
                <w:i/>
                <w:color w:val="000000" w:themeColor="text1"/>
                <w:lang w:val="be-BY"/>
              </w:rPr>
              <w:t>умець</w:t>
            </w:r>
            <w:r w:rsidRPr="00432E8A">
              <w:rPr>
                <w:rFonts w:eastAsia="Calibri"/>
                <w:color w:val="000000" w:themeColor="text1"/>
                <w:kern w:val="2"/>
                <w:lang w:val="be-BY" w:eastAsia="en-US"/>
                <w14:ligatures w14:val="standardContextual"/>
              </w:rPr>
              <w:t>: вызначаць віды камунікатыўных тактык і стратэгій, матываваць перавагу маўленчага выбару ў адносінах да характару камунікатыўнай сітуацыі, сферы зносін, асаблівасцей гаворачага і адрасата, тактычных і стратэгічных мэт выказвання і тэксту; выяўляць і выкарыстоўваць стылістычныя прыёмы; прымяняць жанразнаўчы аналіз да з’яў маўлення: падбор варыянтаў замяшчэння маўленчай адзінкі яе семантычным варыянтам або трансформай у аналагічным кантэксце, знаходзіць і выпраўляць маўленчыя памылкі ў выказванні; ацэньваць і павышаць камунікаты</w:t>
            </w:r>
            <w:r w:rsidR="00687AA1">
              <w:rPr>
                <w:rFonts w:eastAsia="Calibri"/>
                <w:color w:val="000000" w:themeColor="text1"/>
                <w:kern w:val="2"/>
                <w:lang w:val="be-BY" w:eastAsia="en-US"/>
                <w14:ligatures w14:val="standardContextual"/>
              </w:rPr>
              <w:t xml:space="preserve">ўную эфектыўнасць паведамлення; </w:t>
            </w:r>
            <w:r w:rsidRPr="00432E8A">
              <w:rPr>
                <w:b/>
                <w:bCs/>
                <w:i/>
                <w:iCs/>
                <w:color w:val="000000" w:themeColor="text1"/>
                <w:lang w:val="be-BY"/>
              </w:rPr>
              <w:t>валодаць</w:t>
            </w:r>
            <w:r w:rsidRPr="00432E8A">
              <w:rPr>
                <w:b/>
                <w:i/>
                <w:color w:val="000000" w:themeColor="text1"/>
                <w:lang w:val="be-BY"/>
              </w:rPr>
              <w:t>:</w:t>
            </w:r>
            <w:r w:rsidRPr="00432E8A">
              <w:rPr>
                <w:color w:val="000000" w:themeColor="text1"/>
                <w:lang w:val="be-BY"/>
              </w:rPr>
              <w:t xml:space="preserve"> </w:t>
            </w:r>
            <w:r w:rsidRPr="00432E8A">
              <w:rPr>
                <w:rFonts w:eastAsia="Calibri"/>
                <w:color w:val="000000" w:themeColor="text1"/>
                <w:kern w:val="2"/>
                <w:lang w:val="be-BY" w:eastAsia="en-US"/>
                <w14:ligatures w14:val="standardContextual"/>
              </w:rPr>
              <w:t>навыкамі адэкватнага выкарыстання тактык і стратэгій у пэўных маўленчых сітуацыях; навыкамі разгляду выбару маўленчых сродкаў; здольнасцю знаходзіць аптымальныя варыянты маўленчых форм у камунікацыі, сучаснымі метадамі лінгвістычнага аналізу маўлення.</w:t>
            </w:r>
          </w:p>
        </w:tc>
      </w:tr>
      <w:tr w:rsidR="00E21163" w:rsidRPr="00432E8A" w:rsidTr="008E4D8A">
        <w:tc>
          <w:tcPr>
            <w:tcW w:w="3369" w:type="dxa"/>
            <w:tcBorders>
              <w:top w:val="single" w:sz="4" w:space="0" w:color="auto"/>
              <w:left w:val="single" w:sz="4" w:space="0" w:color="auto"/>
              <w:bottom w:val="single" w:sz="4" w:space="0" w:color="auto"/>
              <w:right w:val="single" w:sz="4" w:space="0" w:color="auto"/>
            </w:tcBorders>
            <w:hideMark/>
          </w:tcPr>
          <w:p w:rsidR="00E21163" w:rsidRPr="00432E8A" w:rsidRDefault="00E21163" w:rsidP="00432E8A">
            <w:pPr>
              <w:rPr>
                <w:b/>
                <w:color w:val="000000" w:themeColor="text1"/>
              </w:rPr>
            </w:pPr>
            <w:proofErr w:type="spellStart"/>
            <w:r w:rsidRPr="00432E8A">
              <w:rPr>
                <w:b/>
                <w:color w:val="000000" w:themeColor="text1"/>
              </w:rPr>
              <w:t>Пр</w:t>
            </w:r>
            <w:proofErr w:type="spellEnd"/>
            <w:r w:rsidRPr="00432E8A">
              <w:rPr>
                <w:b/>
                <w:color w:val="000000" w:themeColor="text1"/>
                <w:lang w:val="be-BY"/>
              </w:rPr>
              <w:t>э</w:t>
            </w:r>
            <w:r w:rsidRPr="00432E8A">
              <w:rPr>
                <w:b/>
                <w:color w:val="000000" w:themeColor="text1"/>
              </w:rPr>
              <w:t>р</w:t>
            </w:r>
            <w:r w:rsidRPr="00432E8A">
              <w:rPr>
                <w:b/>
                <w:color w:val="000000" w:themeColor="text1"/>
                <w:lang w:val="be-BY"/>
              </w:rPr>
              <w:t>э</w:t>
            </w:r>
            <w:proofErr w:type="spellStart"/>
            <w:r w:rsidRPr="00432E8A">
              <w:rPr>
                <w:b/>
                <w:color w:val="000000" w:themeColor="text1"/>
              </w:rPr>
              <w:t>кв</w:t>
            </w:r>
            <w:proofErr w:type="spellEnd"/>
            <w:r w:rsidRPr="00432E8A">
              <w:rPr>
                <w:b/>
                <w:color w:val="000000" w:themeColor="text1"/>
                <w:lang w:val="be-BY"/>
              </w:rPr>
              <w:t>і</w:t>
            </w:r>
            <w:r w:rsidRPr="00432E8A">
              <w:rPr>
                <w:b/>
                <w:color w:val="000000" w:themeColor="text1"/>
              </w:rPr>
              <w:t>з</w:t>
            </w:r>
            <w:r w:rsidRPr="00432E8A">
              <w:rPr>
                <w:b/>
                <w:color w:val="000000" w:themeColor="text1"/>
                <w:lang w:val="be-BY"/>
              </w:rPr>
              <w:t>і</w:t>
            </w:r>
            <w:r w:rsidRPr="00432E8A">
              <w:rPr>
                <w:b/>
                <w:color w:val="000000" w:themeColor="text1"/>
              </w:rPr>
              <w:t>ты</w:t>
            </w:r>
          </w:p>
        </w:tc>
        <w:tc>
          <w:tcPr>
            <w:tcW w:w="6378" w:type="dxa"/>
            <w:tcBorders>
              <w:top w:val="single" w:sz="4" w:space="0" w:color="auto"/>
              <w:left w:val="single" w:sz="4" w:space="0" w:color="auto"/>
              <w:bottom w:val="single" w:sz="4" w:space="0" w:color="auto"/>
              <w:right w:val="single" w:sz="4" w:space="0" w:color="auto"/>
            </w:tcBorders>
            <w:hideMark/>
          </w:tcPr>
          <w:p w:rsidR="00E21163" w:rsidRPr="00432E8A" w:rsidRDefault="00E21163" w:rsidP="00432E8A">
            <w:pPr>
              <w:jc w:val="both"/>
              <w:rPr>
                <w:color w:val="000000" w:themeColor="text1"/>
              </w:rPr>
            </w:pPr>
            <w:r w:rsidRPr="00432E8A">
              <w:rPr>
                <w:color w:val="000000" w:themeColor="text1"/>
                <w:lang w:val="be-BY"/>
              </w:rPr>
              <w:t>Лінгвістыка тэксту.</w:t>
            </w:r>
          </w:p>
        </w:tc>
      </w:tr>
      <w:tr w:rsidR="00E21163" w:rsidRPr="0069297C" w:rsidTr="008E4D8A">
        <w:tc>
          <w:tcPr>
            <w:tcW w:w="3369" w:type="dxa"/>
            <w:tcBorders>
              <w:top w:val="single" w:sz="4" w:space="0" w:color="auto"/>
              <w:left w:val="single" w:sz="4" w:space="0" w:color="auto"/>
              <w:bottom w:val="single" w:sz="4" w:space="0" w:color="auto"/>
              <w:right w:val="single" w:sz="4" w:space="0" w:color="auto"/>
            </w:tcBorders>
            <w:hideMark/>
          </w:tcPr>
          <w:p w:rsidR="00E21163" w:rsidRPr="00432E8A" w:rsidRDefault="00E21163" w:rsidP="00432E8A">
            <w:pPr>
              <w:rPr>
                <w:b/>
                <w:color w:val="000000" w:themeColor="text1"/>
                <w:lang w:val="be-BY"/>
              </w:rPr>
            </w:pPr>
            <w:r w:rsidRPr="00432E8A">
              <w:rPr>
                <w:b/>
                <w:color w:val="000000" w:themeColor="text1"/>
                <w:lang w:val="be-BY"/>
              </w:rPr>
              <w:t>Працаёмкасць</w:t>
            </w:r>
          </w:p>
        </w:tc>
        <w:tc>
          <w:tcPr>
            <w:tcW w:w="6378" w:type="dxa"/>
            <w:tcBorders>
              <w:top w:val="single" w:sz="4" w:space="0" w:color="auto"/>
              <w:left w:val="single" w:sz="4" w:space="0" w:color="auto"/>
              <w:bottom w:val="single" w:sz="4" w:space="0" w:color="auto"/>
              <w:right w:val="single" w:sz="4" w:space="0" w:color="auto"/>
            </w:tcBorders>
            <w:hideMark/>
          </w:tcPr>
          <w:p w:rsidR="00E21163" w:rsidRPr="00432E8A" w:rsidRDefault="00E21163" w:rsidP="00432E8A">
            <w:pPr>
              <w:jc w:val="both"/>
              <w:rPr>
                <w:color w:val="000000" w:themeColor="text1"/>
                <w:lang w:val="be-BY"/>
              </w:rPr>
            </w:pPr>
            <w:r w:rsidRPr="00432E8A">
              <w:rPr>
                <w:rFonts w:eastAsia="Calibri"/>
                <w:color w:val="000000" w:themeColor="text1"/>
                <w:kern w:val="2"/>
                <w:lang w:val="be-BY" w:eastAsia="en-US"/>
                <w14:ligatures w14:val="standardContextual"/>
              </w:rPr>
              <w:t>3 заліковыя адзінкі</w:t>
            </w:r>
            <w:r w:rsidR="00432E8A" w:rsidRPr="00432E8A">
              <w:rPr>
                <w:rFonts w:eastAsia="Calibri"/>
                <w:color w:val="000000" w:themeColor="text1"/>
                <w:kern w:val="2"/>
                <w:lang w:val="be-BY" w:eastAsia="en-US"/>
                <w14:ligatures w14:val="standardContextual"/>
              </w:rPr>
              <w:t xml:space="preserve">, 100 акадэмічных </w:t>
            </w:r>
            <w:r w:rsidR="00432E8A" w:rsidRPr="00FF657C">
              <w:rPr>
                <w:rFonts w:eastAsia="Calibri"/>
                <w:color w:val="000000" w:themeColor="text1"/>
                <w:kern w:val="2"/>
                <w:lang w:val="be-BY" w:eastAsia="en-US"/>
                <w14:ligatures w14:val="standardContextual"/>
              </w:rPr>
              <w:t xml:space="preserve">гадзін, з іх </w:t>
            </w:r>
            <w:r w:rsidR="008E4D8A">
              <w:rPr>
                <w:rFonts w:eastAsia="Calibri"/>
                <w:color w:val="000000" w:themeColor="text1"/>
                <w:kern w:val="2"/>
                <w:lang w:val="be-BY" w:eastAsia="en-US"/>
                <w14:ligatures w14:val="standardContextual"/>
              </w:rPr>
              <w:t xml:space="preserve"> 52</w:t>
            </w:r>
            <w:r w:rsidR="008E4D8A">
              <w:rPr>
                <w:rFonts w:eastAsia="Calibri"/>
                <w:color w:val="000000" w:themeColor="text1"/>
                <w:kern w:val="2"/>
                <w:lang w:val="en-US" w:eastAsia="en-US"/>
                <w14:ligatures w14:val="standardContextual"/>
              </w:rPr>
              <w:t> </w:t>
            </w:r>
            <w:r w:rsidRPr="00FF657C">
              <w:rPr>
                <w:rFonts w:eastAsia="Calibri"/>
                <w:color w:val="000000" w:themeColor="text1"/>
                <w:kern w:val="2"/>
                <w:lang w:val="be-BY" w:eastAsia="en-US"/>
                <w14:ligatures w14:val="standardContextual"/>
              </w:rPr>
              <w:t>аўдыторныя</w:t>
            </w:r>
            <w:r w:rsidR="00432E8A" w:rsidRPr="00FF657C">
              <w:rPr>
                <w:rFonts w:eastAsia="Calibri"/>
                <w:color w:val="000000" w:themeColor="text1"/>
                <w:kern w:val="2"/>
                <w:lang w:val="be-BY" w:eastAsia="en-US"/>
                <w14:ligatures w14:val="standardContextual"/>
              </w:rPr>
              <w:t xml:space="preserve">: </w:t>
            </w:r>
            <w:r w:rsidRPr="00FF657C">
              <w:rPr>
                <w:rFonts w:eastAsia="Calibri"/>
                <w:color w:val="000000" w:themeColor="text1"/>
                <w:kern w:val="2"/>
                <w:lang w:val="be-BY" w:eastAsia="en-US"/>
                <w14:ligatures w14:val="standardContextual"/>
              </w:rPr>
              <w:t>28</w:t>
            </w:r>
            <w:r w:rsidR="005E2C54">
              <w:rPr>
                <w:rFonts w:eastAsia="Calibri"/>
                <w:color w:val="000000" w:themeColor="text1"/>
                <w:kern w:val="2"/>
                <w:lang w:val="be-BY" w:eastAsia="en-US"/>
                <w14:ligatures w14:val="standardContextual"/>
              </w:rPr>
              <w:t xml:space="preserve"> </w:t>
            </w:r>
            <w:r w:rsidR="005E2C54" w:rsidRPr="005E2C54">
              <w:rPr>
                <w:rFonts w:eastAsia="Calibri"/>
                <w:color w:val="000000" w:themeColor="text1"/>
                <w:kern w:val="2"/>
                <w:lang w:val="be-BY" w:eastAsia="en-US"/>
                <w14:ligatures w14:val="standardContextual"/>
              </w:rPr>
              <w:t>г</w:t>
            </w:r>
            <w:r w:rsidRPr="00FF657C">
              <w:rPr>
                <w:rFonts w:eastAsia="Calibri"/>
                <w:color w:val="000000" w:themeColor="text1"/>
                <w:kern w:val="2"/>
                <w:lang w:val="be-BY" w:eastAsia="en-US"/>
                <w14:ligatures w14:val="standardContextual"/>
              </w:rPr>
              <w:t xml:space="preserve"> лекцыйных </w:t>
            </w:r>
            <w:r w:rsidR="005E2C54">
              <w:rPr>
                <w:rFonts w:eastAsia="Calibri"/>
                <w:color w:val="000000" w:themeColor="text1"/>
                <w:kern w:val="2"/>
                <w:lang w:val="be-BY" w:eastAsia="en-US"/>
                <w14:ligatures w14:val="standardContextual"/>
              </w:rPr>
              <w:t xml:space="preserve">і 24 </w:t>
            </w:r>
            <w:r w:rsidR="005E2C54" w:rsidRPr="005E2C54">
              <w:rPr>
                <w:rFonts w:eastAsia="Calibri"/>
                <w:color w:val="000000" w:themeColor="text1"/>
                <w:kern w:val="2"/>
                <w:lang w:val="be-BY" w:eastAsia="en-US"/>
                <w14:ligatures w14:val="standardContextual"/>
              </w:rPr>
              <w:t>г</w:t>
            </w:r>
            <w:r w:rsidR="00FF657C" w:rsidRPr="00FF657C">
              <w:rPr>
                <w:rFonts w:eastAsia="Calibri"/>
                <w:color w:val="000000" w:themeColor="text1"/>
                <w:kern w:val="2"/>
                <w:lang w:val="be-BY" w:eastAsia="en-US"/>
                <w14:ligatures w14:val="standardContextual"/>
              </w:rPr>
              <w:t xml:space="preserve"> практычных </w:t>
            </w:r>
            <w:r w:rsidR="00FF657C" w:rsidRPr="00FF657C">
              <w:rPr>
                <w:rFonts w:eastAsia="Calibri"/>
                <w:color w:val="000000" w:themeColor="text1"/>
                <w:lang w:val="be-BY" w:eastAsia="en-US"/>
              </w:rPr>
              <w:t>заняткаў</w:t>
            </w:r>
            <w:r w:rsidRPr="00FF657C">
              <w:rPr>
                <w:rFonts w:eastAsia="Calibri"/>
                <w:color w:val="000000" w:themeColor="text1"/>
                <w:kern w:val="2"/>
                <w:lang w:val="be-BY" w:eastAsia="en-US"/>
                <w14:ligatures w14:val="standardContextual"/>
              </w:rPr>
              <w:t>.</w:t>
            </w:r>
            <w:r w:rsidRPr="00432E8A">
              <w:rPr>
                <w:rFonts w:eastAsia="Calibri"/>
                <w:color w:val="000000" w:themeColor="text1"/>
                <w:kern w:val="2"/>
                <w:lang w:val="be-BY" w:eastAsia="en-US"/>
                <w14:ligatures w14:val="standardContextual"/>
              </w:rPr>
              <w:t xml:space="preserve"> </w:t>
            </w:r>
          </w:p>
        </w:tc>
      </w:tr>
      <w:tr w:rsidR="00E21163" w:rsidRPr="00432E8A" w:rsidTr="008E4D8A">
        <w:tc>
          <w:tcPr>
            <w:tcW w:w="3369" w:type="dxa"/>
            <w:tcBorders>
              <w:top w:val="single" w:sz="4" w:space="0" w:color="auto"/>
              <w:left w:val="single" w:sz="4" w:space="0" w:color="auto"/>
              <w:bottom w:val="single" w:sz="4" w:space="0" w:color="auto"/>
              <w:right w:val="single" w:sz="4" w:space="0" w:color="auto"/>
            </w:tcBorders>
            <w:hideMark/>
          </w:tcPr>
          <w:p w:rsidR="00E21163" w:rsidRPr="00432E8A" w:rsidRDefault="00E21163" w:rsidP="00432E8A">
            <w:pPr>
              <w:rPr>
                <w:b/>
                <w:color w:val="000000" w:themeColor="text1"/>
                <w:lang w:val="be-BY"/>
              </w:rPr>
            </w:pPr>
            <w:r w:rsidRPr="00432E8A">
              <w:rPr>
                <w:b/>
                <w:color w:val="000000" w:themeColor="text1"/>
                <w:lang w:val="be-BY"/>
              </w:rPr>
              <w:t xml:space="preserve">Семестр(ы), патрабаванні і формы бягучай і прамежкавай атэстацыі </w:t>
            </w:r>
          </w:p>
        </w:tc>
        <w:tc>
          <w:tcPr>
            <w:tcW w:w="6378" w:type="dxa"/>
            <w:tcBorders>
              <w:top w:val="single" w:sz="4" w:space="0" w:color="auto"/>
              <w:left w:val="single" w:sz="4" w:space="0" w:color="auto"/>
              <w:bottom w:val="single" w:sz="4" w:space="0" w:color="auto"/>
              <w:right w:val="single" w:sz="4" w:space="0" w:color="auto"/>
            </w:tcBorders>
            <w:hideMark/>
          </w:tcPr>
          <w:p w:rsidR="00E21163" w:rsidRPr="00432E8A" w:rsidRDefault="00E21163" w:rsidP="00432E8A">
            <w:pPr>
              <w:jc w:val="both"/>
              <w:rPr>
                <w:color w:val="000000" w:themeColor="text1"/>
                <w:lang w:val="be-BY"/>
              </w:rPr>
            </w:pPr>
            <w:r w:rsidRPr="00432E8A">
              <w:rPr>
                <w:color w:val="000000" w:themeColor="text1"/>
                <w:lang w:val="be-BY"/>
              </w:rPr>
              <w:t>1-ы семестр, залік.</w:t>
            </w:r>
          </w:p>
        </w:tc>
      </w:tr>
    </w:tbl>
    <w:p w:rsidR="00E21163" w:rsidRPr="00432E8A" w:rsidRDefault="00E21163" w:rsidP="00E21163">
      <w:pPr>
        <w:ind w:firstLine="720"/>
        <w:jc w:val="both"/>
        <w:rPr>
          <w:rFonts w:ascii="Calibri" w:eastAsia="Calibri" w:hAnsi="Calibri"/>
          <w:color w:val="000000" w:themeColor="text1"/>
          <w:kern w:val="2"/>
          <w:sz w:val="22"/>
          <w:szCs w:val="22"/>
          <w:lang w:val="be-BY" w:eastAsia="en-US"/>
          <w14:ligatures w14:val="standardContextual"/>
        </w:rPr>
      </w:pPr>
    </w:p>
    <w:p w:rsidR="00687AA1" w:rsidRPr="0069297C" w:rsidRDefault="00687AA1" w:rsidP="0069297C">
      <w:pPr>
        <w:tabs>
          <w:tab w:val="left" w:pos="567"/>
        </w:tabs>
        <w:rPr>
          <w:b/>
          <w:bCs/>
          <w:color w:val="000000" w:themeColor="text1"/>
          <w:lang w:val="en-US"/>
        </w:rPr>
      </w:pPr>
      <w:bookmarkStart w:id="0" w:name="_GoBack"/>
      <w:bookmarkEnd w:id="0"/>
    </w:p>
    <w:sectPr w:rsidR="00687AA1" w:rsidRPr="0069297C" w:rsidSect="004F1C1F">
      <w:pgSz w:w="11906" w:h="16838"/>
      <w:pgMar w:top="1134" w:right="567" w:bottom="51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8354E"/>
    <w:multiLevelType w:val="multilevel"/>
    <w:tmpl w:val="3E48DD72"/>
    <w:styleLink w:val="1"/>
    <w:lvl w:ilvl="0">
      <w:start w:val="18"/>
      <w:numFmt w:val="decimal"/>
      <w:lvlText w:val="%1."/>
      <w:lvlJc w:val="left"/>
      <w:pPr>
        <w:ind w:left="170" w:firstLine="539"/>
      </w:pPr>
      <w:rPr>
        <w:rFonts w:hint="default"/>
      </w:rPr>
    </w:lvl>
    <w:lvl w:ilvl="1">
      <w:start w:val="18"/>
      <w:numFmt w:val="none"/>
      <w:lvlText w:val="%1.1"/>
      <w:lvlJc w:val="left"/>
      <w:pPr>
        <w:tabs>
          <w:tab w:val="num" w:pos="709"/>
        </w:tabs>
        <w:ind w:left="170" w:firstLine="539"/>
      </w:pPr>
      <w:rPr>
        <w:rFonts w:hint="default"/>
      </w:rPr>
    </w:lvl>
    <w:lvl w:ilvl="2">
      <w:start w:val="18"/>
      <w:numFmt w:val="none"/>
      <w:lvlText w:val="%1%2.1.1"/>
      <w:lvlJc w:val="left"/>
      <w:pPr>
        <w:ind w:left="170" w:firstLine="539"/>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E68"/>
    <w:rsid w:val="00046062"/>
    <w:rsid w:val="00085E8E"/>
    <w:rsid w:val="000A37E6"/>
    <w:rsid w:val="001549A8"/>
    <w:rsid w:val="001844CC"/>
    <w:rsid w:val="001B3DA7"/>
    <w:rsid w:val="00223AF6"/>
    <w:rsid w:val="00263F55"/>
    <w:rsid w:val="002712C3"/>
    <w:rsid w:val="00296BD5"/>
    <w:rsid w:val="002A5473"/>
    <w:rsid w:val="003167A8"/>
    <w:rsid w:val="00317875"/>
    <w:rsid w:val="00326D5A"/>
    <w:rsid w:val="003B0BB6"/>
    <w:rsid w:val="003F1B3C"/>
    <w:rsid w:val="00410A06"/>
    <w:rsid w:val="00432E8A"/>
    <w:rsid w:val="00441B51"/>
    <w:rsid w:val="00474DBB"/>
    <w:rsid w:val="004E1199"/>
    <w:rsid w:val="004E6EC0"/>
    <w:rsid w:val="004F1C1F"/>
    <w:rsid w:val="004F1EFE"/>
    <w:rsid w:val="00503CAA"/>
    <w:rsid w:val="005440C6"/>
    <w:rsid w:val="005642BF"/>
    <w:rsid w:val="005A1AB9"/>
    <w:rsid w:val="005B4343"/>
    <w:rsid w:val="005E2C54"/>
    <w:rsid w:val="0060577C"/>
    <w:rsid w:val="0062795E"/>
    <w:rsid w:val="006865FD"/>
    <w:rsid w:val="00687AA1"/>
    <w:rsid w:val="0069297C"/>
    <w:rsid w:val="007118E9"/>
    <w:rsid w:val="00725AAB"/>
    <w:rsid w:val="0075050F"/>
    <w:rsid w:val="00773DF3"/>
    <w:rsid w:val="007A1EB1"/>
    <w:rsid w:val="007A235F"/>
    <w:rsid w:val="007B0807"/>
    <w:rsid w:val="0081386B"/>
    <w:rsid w:val="0081404E"/>
    <w:rsid w:val="00851F54"/>
    <w:rsid w:val="0085251A"/>
    <w:rsid w:val="00896829"/>
    <w:rsid w:val="008C0507"/>
    <w:rsid w:val="008C0E89"/>
    <w:rsid w:val="008E4D8A"/>
    <w:rsid w:val="009602FE"/>
    <w:rsid w:val="00984AE3"/>
    <w:rsid w:val="009D0FDD"/>
    <w:rsid w:val="00A012ED"/>
    <w:rsid w:val="00A20E19"/>
    <w:rsid w:val="00A33861"/>
    <w:rsid w:val="00A353DF"/>
    <w:rsid w:val="00A624B1"/>
    <w:rsid w:val="00A91307"/>
    <w:rsid w:val="00A926E1"/>
    <w:rsid w:val="00AD3D08"/>
    <w:rsid w:val="00AE53AF"/>
    <w:rsid w:val="00B2499F"/>
    <w:rsid w:val="00B715CF"/>
    <w:rsid w:val="00C844A2"/>
    <w:rsid w:val="00CB62EB"/>
    <w:rsid w:val="00D00E68"/>
    <w:rsid w:val="00D02102"/>
    <w:rsid w:val="00D21D75"/>
    <w:rsid w:val="00DD5DDF"/>
    <w:rsid w:val="00E154D6"/>
    <w:rsid w:val="00E21163"/>
    <w:rsid w:val="00E5480D"/>
    <w:rsid w:val="00E62316"/>
    <w:rsid w:val="00E66C44"/>
    <w:rsid w:val="00EE2B65"/>
    <w:rsid w:val="00F00930"/>
    <w:rsid w:val="00F24EDF"/>
    <w:rsid w:val="00F54A80"/>
    <w:rsid w:val="00FF6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E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uiPriority w:val="99"/>
    <w:rsid w:val="00474DBB"/>
    <w:pPr>
      <w:numPr>
        <w:numId w:val="1"/>
      </w:numPr>
    </w:pPr>
  </w:style>
  <w:style w:type="character" w:customStyle="1" w:styleId="fontstyle01">
    <w:name w:val="fontstyle01"/>
    <w:rsid w:val="00D00E68"/>
    <w:rPr>
      <w:rFonts w:ascii="Times New Roman" w:hAnsi="Times New Roman" w:cs="Times New Roman" w:hint="default"/>
      <w:b w:val="0"/>
      <w:bCs w:val="0"/>
      <w:i w:val="0"/>
      <w:iCs w:val="0"/>
      <w:color w:val="000000"/>
      <w:sz w:val="28"/>
      <w:szCs w:val="28"/>
    </w:rPr>
  </w:style>
  <w:style w:type="character" w:customStyle="1" w:styleId="mw-headline">
    <w:name w:val="mw-headline"/>
    <w:basedOn w:val="a0"/>
    <w:rsid w:val="00296BD5"/>
  </w:style>
  <w:style w:type="paragraph" w:styleId="a3">
    <w:name w:val="Body Text Indent"/>
    <w:basedOn w:val="a"/>
    <w:link w:val="a4"/>
    <w:unhideWhenUsed/>
    <w:rsid w:val="00E21163"/>
    <w:pPr>
      <w:spacing w:line="360" w:lineRule="auto"/>
      <w:ind w:firstLine="705"/>
      <w:jc w:val="both"/>
    </w:pPr>
    <w:rPr>
      <w:sz w:val="28"/>
    </w:rPr>
  </w:style>
  <w:style w:type="character" w:customStyle="1" w:styleId="a4">
    <w:name w:val="Основной текст с отступом Знак"/>
    <w:basedOn w:val="a0"/>
    <w:link w:val="a3"/>
    <w:rsid w:val="00E21163"/>
    <w:rPr>
      <w:rFonts w:ascii="Times New Roman" w:eastAsia="Times New Roman" w:hAnsi="Times New Roman" w:cs="Times New Roman"/>
      <w:sz w:val="28"/>
      <w:szCs w:val="24"/>
      <w:lang w:eastAsia="ru-RU"/>
    </w:rPr>
  </w:style>
  <w:style w:type="paragraph" w:styleId="a5">
    <w:name w:val="No Spacing"/>
    <w:qFormat/>
    <w:rsid w:val="00E2116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E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uiPriority w:val="99"/>
    <w:rsid w:val="00474DBB"/>
    <w:pPr>
      <w:numPr>
        <w:numId w:val="1"/>
      </w:numPr>
    </w:pPr>
  </w:style>
  <w:style w:type="character" w:customStyle="1" w:styleId="fontstyle01">
    <w:name w:val="fontstyle01"/>
    <w:rsid w:val="00D00E68"/>
    <w:rPr>
      <w:rFonts w:ascii="Times New Roman" w:hAnsi="Times New Roman" w:cs="Times New Roman" w:hint="default"/>
      <w:b w:val="0"/>
      <w:bCs w:val="0"/>
      <w:i w:val="0"/>
      <w:iCs w:val="0"/>
      <w:color w:val="000000"/>
      <w:sz w:val="28"/>
      <w:szCs w:val="28"/>
    </w:rPr>
  </w:style>
  <w:style w:type="character" w:customStyle="1" w:styleId="mw-headline">
    <w:name w:val="mw-headline"/>
    <w:basedOn w:val="a0"/>
    <w:rsid w:val="00296BD5"/>
  </w:style>
  <w:style w:type="paragraph" w:styleId="a3">
    <w:name w:val="Body Text Indent"/>
    <w:basedOn w:val="a"/>
    <w:link w:val="a4"/>
    <w:unhideWhenUsed/>
    <w:rsid w:val="00E21163"/>
    <w:pPr>
      <w:spacing w:line="360" w:lineRule="auto"/>
      <w:ind w:firstLine="705"/>
      <w:jc w:val="both"/>
    </w:pPr>
    <w:rPr>
      <w:sz w:val="28"/>
    </w:rPr>
  </w:style>
  <w:style w:type="character" w:customStyle="1" w:styleId="a4">
    <w:name w:val="Основной текст с отступом Знак"/>
    <w:basedOn w:val="a0"/>
    <w:link w:val="a3"/>
    <w:rsid w:val="00E21163"/>
    <w:rPr>
      <w:rFonts w:ascii="Times New Roman" w:eastAsia="Times New Roman" w:hAnsi="Times New Roman" w:cs="Times New Roman"/>
      <w:sz w:val="28"/>
      <w:szCs w:val="24"/>
      <w:lang w:eastAsia="ru-RU"/>
    </w:rPr>
  </w:style>
  <w:style w:type="paragraph" w:styleId="a5">
    <w:name w:val="No Spacing"/>
    <w:qFormat/>
    <w:rsid w:val="00E2116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24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C087EE45DA8B643AF8AC430A6B82E98" ma:contentTypeVersion="0" ma:contentTypeDescription="Создание документа." ma:contentTypeScope="" ma:versionID="0cafe08341b913e3b1708e116774420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913F2A-4722-4CF3-BA1C-F0522CA4D43F}"/>
</file>

<file path=customXml/itemProps2.xml><?xml version="1.0" encoding="utf-8"?>
<ds:datastoreItem xmlns:ds="http://schemas.openxmlformats.org/officeDocument/2006/customXml" ds:itemID="{3C45B734-CCDD-4D6A-872F-44A44FE00FCE}"/>
</file>

<file path=customXml/itemProps3.xml><?xml version="1.0" encoding="utf-8"?>
<ds:datastoreItem xmlns:ds="http://schemas.openxmlformats.org/officeDocument/2006/customXml" ds:itemID="{3A0EF4CA-26D1-4AB5-B5EB-0B5D6AEF820C}"/>
</file>

<file path=docProps/app.xml><?xml version="1.0" encoding="utf-8"?>
<Properties xmlns="http://schemas.openxmlformats.org/officeDocument/2006/extended-properties" xmlns:vt="http://schemas.openxmlformats.org/officeDocument/2006/docPropsVTypes">
  <Template>Normal</Template>
  <TotalTime>122</TotalTime>
  <Pages>1</Pages>
  <Words>370</Words>
  <Characters>2111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Anastasiya Migura</dc:creator>
  <cp:lastModifiedBy>Admin</cp:lastModifiedBy>
  <cp:revision>55</cp:revision>
  <dcterms:created xsi:type="dcterms:W3CDTF">2024-06-06T14:47:00Z</dcterms:created>
  <dcterms:modified xsi:type="dcterms:W3CDTF">2024-06-16T17:09:00Z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0x0101001C087EE45DA8B643AF8AC430A6B82E98</vt:lpwstr>
  </property>
</Properties>
</file>